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pPr>
      <w:r>
        <w:rPr>
          <w:rFonts w:hint="eastAsia"/>
        </w:rPr>
        <w:t>附件1</w:t>
      </w:r>
    </w:p>
    <w:p>
      <w:pPr>
        <w:pStyle w:val="10"/>
        <w:ind w:firstLine="0" w:firstLineChars="0"/>
      </w:pPr>
      <w:r>
        <w:rPr>
          <w:rFonts w:hint="eastAsia"/>
        </w:rPr>
        <w:t>梅州市中小企业数字化转型城市试点数字化改造项目申报指南</w:t>
      </w:r>
    </w:p>
    <w:p>
      <w:pPr>
        <w:ind w:firstLine="640"/>
      </w:pPr>
    </w:p>
    <w:p>
      <w:pPr>
        <w:pStyle w:val="2"/>
        <w:ind w:firstLine="640" w:firstLineChars="0"/>
      </w:pPr>
      <w:r>
        <w:rPr>
          <w:rFonts w:hint="eastAsia"/>
          <w:bCs w:val="0"/>
        </w:rPr>
        <w:t>一、</w:t>
      </w:r>
      <w:r>
        <w:rPr>
          <w:rFonts w:hint="eastAsia"/>
        </w:rPr>
        <w:t>申报方向</w:t>
      </w:r>
    </w:p>
    <w:p>
      <w:pPr>
        <w:ind w:firstLine="640"/>
      </w:pPr>
      <w:r>
        <w:rPr>
          <w:rFonts w:hint="eastAsia"/>
        </w:rPr>
        <w:t>中小企业数字化改造项目。</w:t>
      </w:r>
    </w:p>
    <w:p>
      <w:pPr>
        <w:pStyle w:val="2"/>
        <w:ind w:firstLine="640"/>
      </w:pPr>
      <w:r>
        <w:rPr>
          <w:rFonts w:hint="eastAsia"/>
        </w:rPr>
        <w:t>二、申报要求</w:t>
      </w:r>
    </w:p>
    <w:p>
      <w:pPr>
        <w:ind w:firstLine="640"/>
      </w:pPr>
      <w:r>
        <w:rPr>
          <w:rFonts w:hint="eastAsia"/>
        </w:rPr>
        <w:t>（一）申报单位在梅州市内生产经营，具有独立承担民事责任的能力，属于梅州市铜箔－高端印制电路板、电声、绿色建材和陶瓷四个细分行业的中小型制造业企业。</w:t>
      </w:r>
    </w:p>
    <w:p>
      <w:pPr>
        <w:ind w:firstLine="640"/>
      </w:pPr>
      <w:r>
        <w:rPr>
          <w:rFonts w:hint="eastAsia"/>
        </w:rPr>
        <w:t>（二）申报单位诚信经营，依法纳税，未被纳入失信惩戒主体名单、经营异常名录或其他失信主体名单（可提供无违法违规证明公共信用信息报告为重要佐证材料），近三年在专项审计、绩效评价、监督检查等方面未出现严重违法违规情况。</w:t>
      </w:r>
    </w:p>
    <w:p>
      <w:pPr>
        <w:ind w:firstLine="640"/>
      </w:pPr>
      <w:r>
        <w:rPr>
          <w:rFonts w:hint="eastAsia"/>
        </w:rPr>
        <w:t>（三）申报项目在梅州市内实施，在2023年10月11日至申报日期前启动、实施、完成，项目投入核算的合同签订日期、发票开具日期、付款日期必须在项目实施期限内。</w:t>
      </w:r>
    </w:p>
    <w:p>
      <w:pPr>
        <w:ind w:firstLine="640"/>
      </w:pPr>
      <w:r>
        <w:rPr>
          <w:rFonts w:hint="eastAsia"/>
        </w:rPr>
        <w:t>（四）申报单位需与经认定的行业数字化牵引单位双方签订或者</w:t>
      </w:r>
      <w:r>
        <w:rPr>
          <w:rFonts w:ascii="仿宋_GB2312" w:hAnsi="宋体" w:cs="仿宋_GB2312"/>
          <w:color w:val="000000"/>
          <w:kern w:val="0"/>
          <w:sz w:val="31"/>
          <w:szCs w:val="31"/>
          <w:lang w:bidi="ar"/>
        </w:rPr>
        <w:t>与</w:t>
      </w:r>
      <w:r>
        <w:rPr>
          <w:rFonts w:hint="eastAsia" w:ascii="仿宋_GB2312" w:hAnsi="宋体" w:cs="仿宋_GB2312"/>
          <w:color w:val="000000"/>
          <w:kern w:val="0"/>
          <w:sz w:val="31"/>
          <w:szCs w:val="31"/>
          <w:lang w:bidi="ar"/>
        </w:rPr>
        <w:t>行业数字化</w:t>
      </w:r>
      <w:r>
        <w:rPr>
          <w:rFonts w:ascii="仿宋_GB2312" w:hAnsi="宋体" w:cs="仿宋_GB2312"/>
          <w:color w:val="000000"/>
          <w:kern w:val="0"/>
          <w:sz w:val="31"/>
          <w:szCs w:val="31"/>
          <w:lang w:bidi="ar"/>
        </w:rPr>
        <w:t>牵引</w:t>
      </w:r>
      <w:r>
        <w:rPr>
          <w:rFonts w:hint="eastAsia" w:ascii="仿宋_GB2312" w:hAnsi="宋体" w:cs="仿宋_GB2312"/>
          <w:color w:val="000000"/>
          <w:kern w:val="0"/>
          <w:sz w:val="31"/>
          <w:szCs w:val="31"/>
          <w:lang w:bidi="ar"/>
        </w:rPr>
        <w:t>单位</w:t>
      </w:r>
      <w:r>
        <w:rPr>
          <w:rFonts w:ascii="仿宋_GB2312" w:hAnsi="宋体" w:cs="仿宋_GB2312"/>
          <w:color w:val="000000"/>
          <w:kern w:val="0"/>
          <w:sz w:val="31"/>
          <w:szCs w:val="31"/>
          <w:lang w:bidi="ar"/>
        </w:rPr>
        <w:t>、数字化集成服</w:t>
      </w:r>
      <w:r>
        <w:rPr>
          <w:rFonts w:hint="eastAsia" w:ascii="仿宋_GB2312" w:hAnsi="宋体" w:cs="仿宋_GB2312"/>
          <w:color w:val="000000"/>
          <w:kern w:val="0"/>
          <w:sz w:val="31"/>
          <w:szCs w:val="31"/>
          <w:lang w:bidi="ar"/>
        </w:rPr>
        <w:t>务单位多方共同签订</w:t>
      </w:r>
      <w:r>
        <w:rPr>
          <w:rFonts w:hint="eastAsia"/>
        </w:rPr>
        <w:t>数字化改造合同（合同里要清晰列出产品名称、编码、价格等关键信息，可签订补充协议），改造项目所应用的产品须纳入梅州市中小企业数字化转型城市试点数字化产品清单。</w:t>
      </w:r>
    </w:p>
    <w:p>
      <w:pPr>
        <w:ind w:firstLine="640"/>
      </w:pPr>
      <w:r>
        <w:rPr>
          <w:rFonts w:hint="eastAsia"/>
        </w:rPr>
        <w:t>（五）申报单位实施数字化改造项目后，按照相关标准开展数字化水平自评测（评测标准见附件3），数字化水平等级应达到二级及以上。</w:t>
      </w:r>
    </w:p>
    <w:p>
      <w:pPr>
        <w:ind w:firstLine="640"/>
      </w:pPr>
      <w:r>
        <w:rPr>
          <w:rFonts w:hint="eastAsia"/>
        </w:rPr>
        <w:t>（六）申报单位数字化改造成效明显，须从创新、市场、提质、降本、增效、绿色、安全等方面提出不少于 3 项可量化、可考核的效益指标。</w:t>
      </w:r>
    </w:p>
    <w:p>
      <w:pPr>
        <w:ind w:firstLine="640"/>
      </w:pPr>
      <w:r>
        <w:rPr>
          <w:rFonts w:hint="eastAsia"/>
        </w:rPr>
        <w:t>（七）申报项目从未获得过其它省级财政专项资金支持（省级中小企业数字化转型城市试点专项资金中的数字化改造奖补和贷款贴息可同时获得，此情形除外）。</w:t>
      </w:r>
    </w:p>
    <w:p>
      <w:pPr>
        <w:pStyle w:val="2"/>
        <w:ind w:firstLine="640"/>
      </w:pPr>
      <w:r>
        <w:rPr>
          <w:rFonts w:hint="eastAsia"/>
        </w:rPr>
        <w:t>三、申报材料</w:t>
      </w:r>
    </w:p>
    <w:p>
      <w:pPr>
        <w:ind w:firstLine="640"/>
      </w:pPr>
      <w:r>
        <w:rPr>
          <w:rFonts w:hint="eastAsia"/>
        </w:rPr>
        <w:t>请申报单位按照下列材料清单顺序依次准备纸质及电子版材料，必须编制封面、目录和页码（模板见附件2）。</w:t>
      </w:r>
    </w:p>
    <w:p>
      <w:pPr>
        <w:ind w:firstLine="640"/>
      </w:pPr>
      <w:r>
        <w:rPr>
          <w:rFonts w:hint="eastAsia"/>
        </w:rPr>
        <w:t>（一）封面；</w:t>
      </w:r>
    </w:p>
    <w:p>
      <w:pPr>
        <w:ind w:firstLine="640"/>
      </w:pPr>
      <w:r>
        <w:rPr>
          <w:rFonts w:hint="eastAsia"/>
        </w:rPr>
        <w:t>（二）目录；</w:t>
      </w:r>
    </w:p>
    <w:p>
      <w:pPr>
        <w:ind w:firstLine="640"/>
      </w:pPr>
      <w:r>
        <w:rPr>
          <w:rFonts w:hint="eastAsia"/>
        </w:rPr>
        <w:t>（三）项目申请表；</w:t>
      </w:r>
    </w:p>
    <w:p>
      <w:pPr>
        <w:ind w:firstLine="640"/>
      </w:pPr>
      <w:r>
        <w:rPr>
          <w:rFonts w:hint="eastAsia"/>
        </w:rPr>
        <w:t>（四）项目投资清单及对应的凭证；</w:t>
      </w:r>
    </w:p>
    <w:p>
      <w:pPr>
        <w:ind w:firstLine="640"/>
      </w:pPr>
      <w:bookmarkStart w:id="0" w:name="_Hlk179464930"/>
      <w:r>
        <w:rPr>
          <w:rFonts w:hint="eastAsia"/>
        </w:rPr>
        <w:t>（五）改造项目内部验收报告或验收单；</w:t>
      </w:r>
    </w:p>
    <w:p>
      <w:pPr>
        <w:ind w:firstLine="640"/>
      </w:pPr>
      <w:r>
        <w:rPr>
          <w:rFonts w:hint="eastAsia"/>
        </w:rPr>
        <w:t>（六）改造前企业数字化咨询诊断报告；</w:t>
      </w:r>
    </w:p>
    <w:p>
      <w:pPr>
        <w:ind w:firstLine="640"/>
      </w:pPr>
      <w:r>
        <w:rPr>
          <w:rFonts w:hint="eastAsia"/>
        </w:rPr>
        <w:t>（七）项目改造方案；</w:t>
      </w:r>
    </w:p>
    <w:p>
      <w:pPr>
        <w:ind w:firstLine="640"/>
      </w:pPr>
      <w:r>
        <w:rPr>
          <w:rFonts w:hint="eastAsia"/>
        </w:rPr>
        <w:t>（八）</w:t>
      </w:r>
      <w:bookmarkStart w:id="1" w:name="_Hlk182328875"/>
      <w:r>
        <w:rPr>
          <w:rFonts w:hint="eastAsia"/>
        </w:rPr>
        <w:t>改造后企业数字化水平</w:t>
      </w:r>
      <w:bookmarkEnd w:id="1"/>
      <w:r>
        <w:rPr>
          <w:rFonts w:hint="eastAsia"/>
        </w:rPr>
        <w:t>评测结果截图；</w:t>
      </w:r>
    </w:p>
    <w:p>
      <w:pPr>
        <w:ind w:firstLine="640"/>
      </w:pPr>
      <w:r>
        <w:rPr>
          <w:rFonts w:hint="eastAsia"/>
        </w:rPr>
        <w:t>（九）改造项目应用的软件系统运行界面截图；</w:t>
      </w:r>
    </w:p>
    <w:p>
      <w:pPr>
        <w:ind w:firstLine="640"/>
      </w:pPr>
      <w:r>
        <w:rPr>
          <w:rFonts w:hint="eastAsia"/>
        </w:rPr>
        <w:t>（十）“绩效指标”佐证材料；</w:t>
      </w:r>
    </w:p>
    <w:p>
      <w:pPr>
        <w:ind w:firstLine="640"/>
      </w:pPr>
      <w:r>
        <w:rPr>
          <w:rFonts w:hint="eastAsia"/>
        </w:rPr>
        <w:t>（十一）企业营业执照和法定代表人身份证复印件；</w:t>
      </w:r>
    </w:p>
    <w:p>
      <w:pPr>
        <w:ind w:firstLine="640"/>
      </w:pPr>
      <w:r>
        <w:rPr>
          <w:rFonts w:hint="eastAsia"/>
        </w:rPr>
        <w:t>（十二）从“信用中国”（www.creditchina.gov.cn）下载的《法人和非法人组织公共信用信息报告》；</w:t>
      </w:r>
    </w:p>
    <w:p>
      <w:pPr>
        <w:ind w:firstLine="640"/>
      </w:pPr>
      <w:r>
        <w:rPr>
          <w:rFonts w:hint="eastAsia"/>
        </w:rPr>
        <w:t>（十三）其他与项目建设相关的佐证材料。</w:t>
      </w:r>
    </w:p>
    <w:bookmarkEnd w:id="0"/>
    <w:p>
      <w:pPr>
        <w:pStyle w:val="2"/>
        <w:ind w:firstLine="640"/>
      </w:pPr>
      <w:r>
        <w:rPr>
          <w:rFonts w:hint="eastAsia"/>
        </w:rPr>
        <w:t>四、奖补标准</w:t>
      </w:r>
    </w:p>
    <w:p>
      <w:pPr>
        <w:ind w:firstLine="640"/>
      </w:pPr>
      <w:r>
        <w:rPr>
          <w:rFonts w:hint="eastAsia"/>
        </w:rPr>
        <w:t>1.铜箔-电路板行业</w:t>
      </w:r>
    </w:p>
    <w:p>
      <w:pPr>
        <w:ind w:firstLine="640"/>
      </w:pPr>
      <w:r>
        <w:rPr>
          <w:rFonts w:hint="eastAsia"/>
        </w:rPr>
        <w:t>电路板行业，安排专项资金约2025万元，支持不少于50家企业开展数字化改造：其中，数字化节水应用项目按照不超过每条生产线核定投入费用的</w:t>
      </w:r>
      <w:r>
        <w:t>50%</w:t>
      </w:r>
      <w:r>
        <w:rPr>
          <w:rFonts w:hint="eastAsia"/>
        </w:rPr>
        <w:t>的比例补助，每家企业不超过</w:t>
      </w:r>
      <w:r>
        <w:t>150</w:t>
      </w:r>
      <w:r>
        <w:rPr>
          <w:rFonts w:hint="eastAsia"/>
        </w:rPr>
        <w:t>万元；重点企业项目按不超过核定项目投入费用的</w:t>
      </w:r>
      <w:r>
        <w:t>30%</w:t>
      </w:r>
      <w:r>
        <w:rPr>
          <w:rFonts w:hint="eastAsia"/>
        </w:rPr>
        <w:t>补助，每家企业补助金额不超过</w:t>
      </w:r>
      <w:r>
        <w:t>100</w:t>
      </w:r>
      <w:r>
        <w:rPr>
          <w:rFonts w:hint="eastAsia"/>
        </w:rPr>
        <w:t>万元；其他企业项目按不超过核定项目投入费用的5</w:t>
      </w:r>
      <w:r>
        <w:t>0%</w:t>
      </w:r>
      <w:r>
        <w:rPr>
          <w:rFonts w:hint="eastAsia"/>
        </w:rPr>
        <w:t>补助。</w:t>
      </w:r>
    </w:p>
    <w:p>
      <w:pPr>
        <w:ind w:firstLine="640"/>
      </w:pPr>
      <w:r>
        <w:rPr>
          <w:rFonts w:hint="eastAsia"/>
        </w:rPr>
        <w:t>铜箔行业，安排专项资金约305万元，支持不少于10家企业开展数字化改造：其中，重点企业项目按不超过核定项目投入费用的30%补助，每家企业补助金额不超过100万元；其他企业项目按不超过核定项目投入费用的50%补助。</w:t>
      </w:r>
    </w:p>
    <w:p>
      <w:pPr>
        <w:ind w:firstLine="640"/>
      </w:pPr>
      <w:r>
        <w:rPr>
          <w:rFonts w:hint="eastAsia"/>
        </w:rPr>
        <w:t>2.电声行业，安排专项资金约836万元，支持不少于50家企业开展数字化改造：其中，重点企业项目在2023年10月11日（含）至12月31日签订的合同按不超过核定项目投入费用的50%补助，在 2024年1月1日（含）以后签订的合同按不超过核定项目投入费用的30%补助，每家企业补助金额不超过100万元；其他企业项目按不超过核定项目投入费用的50%补助。</w:t>
      </w:r>
    </w:p>
    <w:p>
      <w:pPr>
        <w:ind w:firstLine="640"/>
      </w:pPr>
      <w:r>
        <w:rPr>
          <w:rFonts w:hint="eastAsia"/>
        </w:rPr>
        <w:t>3.</w:t>
      </w:r>
      <w:bookmarkStart w:id="2" w:name="_GoBack"/>
      <w:r>
        <w:rPr>
          <w:rFonts w:hint="eastAsia"/>
        </w:rPr>
        <w:t>绿色建材行业，安排专项资金约782万元，支持不少于74家企业实施：其中，重点企业项目按不超过核定项目投入费用的30%补助，每家企业补助金额不超过100万元；其他企业项目按不超过核定项目投入费用的50%补助。</w:t>
      </w:r>
    </w:p>
    <w:bookmarkEnd w:id="2"/>
    <w:p>
      <w:pPr>
        <w:ind w:firstLine="640"/>
      </w:pPr>
      <w:r>
        <w:rPr>
          <w:rFonts w:hint="eastAsia"/>
        </w:rPr>
        <w:t>4.陶瓷行业，安排专项资金约325万元，支持不少于30家企业实施：其中，重点企业项目按不超过核定项目投入费用的30%补助，每家企业补助金额不超过100万元；其他企业项目按不超过核定项目投入费用的50%补助。</w:t>
      </w:r>
    </w:p>
    <w:p>
      <w:pPr>
        <w:ind w:firstLine="640"/>
      </w:pPr>
      <w:r>
        <w:rPr>
          <w:rFonts w:hint="eastAsia"/>
        </w:rPr>
        <w:t>5.</w:t>
      </w:r>
      <w:r>
        <w:rPr>
          <w:szCs w:val="32"/>
        </w:rPr>
        <w:t xml:space="preserve"> 核定的项目投入费用</w:t>
      </w:r>
      <w:r>
        <w:rPr>
          <w:rFonts w:hint="eastAsia"/>
          <w:szCs w:val="32"/>
        </w:rPr>
        <w:t>包括</w:t>
      </w:r>
      <w:r>
        <w:rPr>
          <w:szCs w:val="32"/>
        </w:rPr>
        <w:t>与数字化改造相关的软件和云服务支出，网关、路由、传感器、工业控制系统</w:t>
      </w:r>
      <w:r>
        <w:rPr>
          <w:rFonts w:hint="eastAsia"/>
          <w:szCs w:val="32"/>
        </w:rPr>
        <w:t>、防火墙</w:t>
      </w:r>
      <w:r>
        <w:rPr>
          <w:szCs w:val="32"/>
        </w:rPr>
        <w:t>等必要的数据采集传输</w:t>
      </w:r>
      <w:r>
        <w:rPr>
          <w:rFonts w:hint="eastAsia"/>
          <w:szCs w:val="32"/>
        </w:rPr>
        <w:t>、</w:t>
      </w:r>
      <w:r>
        <w:rPr>
          <w:szCs w:val="32"/>
        </w:rPr>
        <w:t>工业控制</w:t>
      </w:r>
      <w:r>
        <w:rPr>
          <w:rFonts w:hint="eastAsia"/>
          <w:szCs w:val="32"/>
        </w:rPr>
        <w:t>、信息安全</w:t>
      </w:r>
      <w:r>
        <w:rPr>
          <w:szCs w:val="32"/>
        </w:rPr>
        <w:t>设备支出，不含税。按照合同、不含税发票额、付款凭证三单最小核定项目投入费用。</w:t>
      </w:r>
    </w:p>
    <w:p>
      <w:pPr>
        <w:pStyle w:val="2"/>
        <w:ind w:firstLine="640"/>
      </w:pPr>
      <w:r>
        <w:rPr>
          <w:rFonts w:hint="eastAsia"/>
        </w:rPr>
        <w:t>五、奖补程序</w:t>
      </w:r>
    </w:p>
    <w:p>
      <w:pPr>
        <w:ind w:firstLine="640"/>
      </w:pPr>
      <w:r>
        <w:rPr>
          <w:rFonts w:hint="eastAsia" w:eastAsia="楷体_GB2312" w:cs="Times New Roman"/>
        </w:rPr>
        <w:t>（一）</w:t>
      </w:r>
      <w:r>
        <w:rPr>
          <w:rFonts w:eastAsia="楷体_GB2312" w:cs="Times New Roman"/>
        </w:rPr>
        <w:t>改造意向登记。</w:t>
      </w:r>
      <w:r>
        <w:rPr>
          <w:rFonts w:hint="eastAsia"/>
        </w:rPr>
        <w:t>有意向的企业向行业数字化牵引单位提出登记申请，牵引单位原则上要于每月月底前汇总上报企业登记情况（参考已印发的改造意向征集通知）。</w:t>
      </w:r>
    </w:p>
    <w:p>
      <w:pPr>
        <w:ind w:firstLine="640"/>
      </w:pPr>
      <w:r>
        <w:rPr>
          <w:rFonts w:hint="eastAsia" w:eastAsia="楷体_GB2312" w:cs="Times New Roman"/>
        </w:rPr>
        <w:t>（二）改造前数字化咨询诊断。</w:t>
      </w:r>
      <w:r>
        <w:rPr>
          <w:rFonts w:hint="eastAsia"/>
        </w:rPr>
        <w:t>由梅州市工信局指定第三方机构免费为已完成意向登记的企业提供数字化咨询诊断服务，出具数字化咨询诊断报告。</w:t>
      </w:r>
    </w:p>
    <w:p>
      <w:pPr>
        <w:ind w:firstLine="640"/>
      </w:pPr>
      <w:r>
        <w:rPr>
          <w:rFonts w:hint="eastAsia" w:eastAsia="楷体_GB2312" w:cs="Times New Roman"/>
        </w:rPr>
        <w:t>（三）签订改造合同并实施改造。</w:t>
      </w:r>
      <w:r>
        <w:rPr>
          <w:rFonts w:hint="eastAsia"/>
        </w:rPr>
        <w:t>企业根据诊断报告结合实际需求，与牵引单位双方签订或者与牵引单位、数字化集成服务企业多方共同签订改造服务合同（合同要清晰列出产品名称、编码、价格等关键信息），选取《梅州市中小企业数字化转型城市试点“小快轻准”产品和服务清单》中产品实施改造。</w:t>
      </w:r>
    </w:p>
    <w:p>
      <w:pPr>
        <w:ind w:firstLine="640"/>
      </w:pPr>
      <w:r>
        <w:rPr>
          <w:rFonts w:hint="eastAsia" w:eastAsia="楷体_GB2312" w:cs="Times New Roman"/>
        </w:rPr>
        <w:t>（四）企业内部验收</w:t>
      </w:r>
      <w:r>
        <w:rPr>
          <w:rFonts w:hint="eastAsia"/>
        </w:rPr>
        <w:t>。企业完成数字化改造后，内部组织项目验收，出具验收报告或验收单。</w:t>
      </w:r>
    </w:p>
    <w:p>
      <w:pPr>
        <w:ind w:firstLine="640"/>
      </w:pPr>
      <w:r>
        <w:rPr>
          <w:rFonts w:hint="eastAsia" w:ascii="楷体_GB2312" w:eastAsia="楷体_GB2312"/>
        </w:rPr>
        <w:t>（五）改造后数字化水平自评测。</w:t>
      </w:r>
      <w:r>
        <w:rPr>
          <w:rFonts w:hint="eastAsia"/>
        </w:rPr>
        <w:t>企业完成数字化改造后，按照工信部最新印发的《中小企业数字化水平评测指标（2024年版）》，在优质中小企业梯度培育平台（</w:t>
      </w:r>
      <w:r>
        <w:fldChar w:fldCharType="begin"/>
      </w:r>
      <w:r>
        <w:instrText xml:space="preserve"> HYPERLINK "https://zjtx.miit.gov.cn" </w:instrText>
      </w:r>
      <w:r>
        <w:fldChar w:fldCharType="separate"/>
      </w:r>
      <w:r>
        <w:rPr>
          <w:rStyle w:val="14"/>
          <w:rFonts w:hint="eastAsia"/>
        </w:rPr>
        <w:t>https://zjtx.miit.gov.cn</w:t>
      </w:r>
      <w:r>
        <w:rPr>
          <w:rStyle w:val="14"/>
          <w:rFonts w:hint="eastAsia"/>
        </w:rPr>
        <w:fldChar w:fldCharType="end"/>
      </w:r>
      <w:r>
        <w:rPr>
          <w:rFonts w:hint="eastAsia"/>
        </w:rPr>
        <w:t>）数字化转型模块开展在线自评测，输出评测结果。</w:t>
      </w:r>
    </w:p>
    <w:p>
      <w:pPr>
        <w:ind w:firstLine="640"/>
      </w:pPr>
      <w:r>
        <w:rPr>
          <w:rFonts w:hint="eastAsia" w:eastAsia="楷体_GB2312" w:cs="Times New Roman"/>
        </w:rPr>
        <w:t>（六）改造项目入库申报。</w:t>
      </w:r>
      <w:r>
        <w:rPr>
          <w:rFonts w:hint="eastAsia"/>
        </w:rPr>
        <w:t>完成项目改造、自评测数字化水平达到二级及以上的申报单位按要求准备申报资料，连同电子版报送至数字化牵引单位，并同步在各县（市、区）科工商务局备案。</w:t>
      </w:r>
      <w:r>
        <w:rPr>
          <w:rFonts w:hint="eastAsia" w:ascii="仿宋_GB2312" w:cs="Times New Roman"/>
        </w:rPr>
        <w:t>牵引单位汇总申报情况，编制项目汇总表，盖章后连同企业申报资料报送至市工信局。</w:t>
      </w:r>
    </w:p>
    <w:p>
      <w:pPr>
        <w:ind w:firstLine="640"/>
      </w:pPr>
      <w:r>
        <w:rPr>
          <w:rFonts w:hint="eastAsia" w:eastAsia="楷体_GB2312" w:cs="Times New Roman"/>
        </w:rPr>
        <w:t>（七）改造项目初审。</w:t>
      </w:r>
      <w:r>
        <w:rPr>
          <w:rFonts w:hint="eastAsia" w:ascii="仿宋_GB2312" w:cs="Times New Roman"/>
        </w:rPr>
        <w:t>市</w:t>
      </w:r>
      <w:r>
        <w:rPr>
          <w:rFonts w:hint="eastAsia"/>
        </w:rPr>
        <w:t>工信局组织专家或委托第三方机构对申报材料进行初审，审核通过的企业按工信局的要求接受专家组现场开展数字化水平评测及改造成效评估。</w:t>
      </w:r>
    </w:p>
    <w:p>
      <w:pPr>
        <w:ind w:firstLine="640"/>
        <w:rPr>
          <w:rFonts w:eastAsia="楷体_GB2312" w:cs="Times New Roman"/>
        </w:rPr>
      </w:pPr>
      <w:r>
        <w:rPr>
          <w:rFonts w:hint="eastAsia" w:ascii="楷体_GB2312" w:eastAsia="楷体_GB2312"/>
        </w:rPr>
        <w:t>（八）现场评测。</w:t>
      </w:r>
      <w:r>
        <w:rPr>
          <w:rFonts w:hint="eastAsia" w:ascii="仿宋_GB2312" w:cs="Times New Roman"/>
        </w:rPr>
        <w:t>市</w:t>
      </w:r>
      <w:r>
        <w:rPr>
          <w:rFonts w:hint="eastAsia"/>
        </w:rPr>
        <w:t>工信局组织专家或委托第三方机构入企，按照评测标准开展企业数字化水平评测，出具评测报告。</w:t>
      </w:r>
    </w:p>
    <w:p>
      <w:pPr>
        <w:ind w:firstLine="640"/>
      </w:pPr>
      <w:r>
        <w:rPr>
          <w:rFonts w:hint="eastAsia" w:eastAsia="楷体_GB2312" w:cs="Times New Roman"/>
        </w:rPr>
        <w:t>（九）改造项目入库评审。</w:t>
      </w:r>
      <w:r>
        <w:rPr>
          <w:rFonts w:hint="eastAsia"/>
        </w:rPr>
        <w:t>市工信局按照省级城市试点改造项目评审要求，分行业、分批次组织专家或者委托第三方机构开展项目入库评审，并按30%的比例抽查项目开展现场评估工作，出具评估意见，同步向社会公示成功入库的项目。</w:t>
      </w:r>
    </w:p>
    <w:p>
      <w:pPr>
        <w:ind w:firstLine="640"/>
        <w:rPr>
          <w:rFonts w:eastAsia="楷体_GB2312" w:cs="Times New Roman"/>
        </w:rPr>
      </w:pPr>
      <w:r>
        <w:rPr>
          <w:rFonts w:hint="eastAsia" w:eastAsia="楷体_GB2312" w:cs="Times New Roman"/>
        </w:rPr>
        <w:t>（十）资金拨付。</w:t>
      </w:r>
      <w:r>
        <w:rPr>
          <w:rFonts w:hint="eastAsia"/>
        </w:rPr>
        <w:t>对成功入库且公示无异议的数字化改造项目，市工信局及时拟定项目计划和资金分配方案，并向社会公示，项目所在地财政部门收到专项资金后及时拨付给项目单位。</w:t>
      </w:r>
    </w:p>
    <w:p>
      <w:pPr>
        <w:pStyle w:val="2"/>
        <w:ind w:firstLine="640"/>
      </w:pPr>
      <w:r>
        <w:rPr>
          <w:rFonts w:hint="eastAsia"/>
        </w:rPr>
        <w:t>六、其他说明</w:t>
      </w:r>
    </w:p>
    <w:p>
      <w:pPr>
        <w:ind w:firstLine="640"/>
      </w:pPr>
      <w:r>
        <w:rPr>
          <w:rFonts w:hint="eastAsia"/>
        </w:rPr>
        <w:t>（一）原则上一家企业只申请一次数字化改造项目入库，如企业同时开展多个项目改造，多个项目应合并一次性申请。</w:t>
      </w:r>
    </w:p>
    <w:p>
      <w:pPr>
        <w:ind w:firstLine="640"/>
      </w:pPr>
      <w:r>
        <w:rPr>
          <w:rFonts w:hint="eastAsia"/>
        </w:rPr>
        <w:t>（二）申报项目中的数字化转型产品、服务不在产品和服务清单内，须向市工信局推荐并评审入库。</w:t>
      </w:r>
    </w:p>
    <w:p>
      <w:pPr>
        <w:ind w:firstLine="640"/>
      </w:pPr>
      <w:r>
        <w:rPr>
          <w:rFonts w:hint="eastAsia"/>
        </w:rPr>
        <w:t>（三）申报单位与牵引单位签订的服务产品价格应符合市场合理性，坚决防止虚高价格套取财政资金、违法退款等违法违规行为，一经发现，严肃处理。</w:t>
      </w:r>
    </w:p>
    <w:p>
      <w:pPr>
        <w:ind w:firstLine="640"/>
      </w:pPr>
      <w:r>
        <w:rPr>
          <w:rFonts w:hint="eastAsia"/>
        </w:rPr>
        <w:t>（四）申报单位、数字化牵头单位及产业生态、第三方机构存在提供虚假材料骗取财政资金或挤占、截留、挪用财政资金等违法违规行为的，将依法依规严肃处理，按规定收回财政资金。</w:t>
      </w:r>
    </w:p>
    <w:p>
      <w:pPr>
        <w:widowControl/>
        <w:spacing w:line="240" w:lineRule="auto"/>
        <w:ind w:firstLine="0" w:firstLineChars="0"/>
        <w:jc w:val="left"/>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titlePg/>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汉仪中圆B5"/>
    <w:panose1 w:val="02010600030101010101"/>
    <w:charset w:val="86"/>
    <w:family w:val="auto"/>
    <w:pitch w:val="default"/>
    <w:sig w:usb0="00000000" w:usb1="00000000" w:usb2="00000016" w:usb3="00000000" w:csb0="0004000F" w:csb1="00000000"/>
  </w:font>
  <w:font w:name="等线">
    <w:altName w:val="汉仪仿宋S"/>
    <w:panose1 w:val="00000000000000000000"/>
    <w:charset w:val="86"/>
    <w:family w:val="auto"/>
    <w:pitch w:val="default"/>
    <w:sig w:usb0="00000000" w:usb1="00000000" w:usb2="00000000" w:usb3="00000000" w:csb0="00000000" w:csb1="00000000"/>
  </w:font>
  <w:font w:name="等线">
    <w:altName w:val="汉仪仿宋S"/>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方正小标宋简体">
    <w:panose1 w:val="02000000000000000000"/>
    <w:charset w:val="86"/>
    <w:family w:val="script"/>
    <w:pitch w:val="default"/>
    <w:sig w:usb0="A00002BF" w:usb1="184F6CFA" w:usb2="00000012" w:usb3="00000000" w:csb0="00040001" w:csb1="00000000"/>
  </w:font>
  <w:font w:name="汉仪仿宋S">
    <w:panose1 w:val="00020600040101000101"/>
    <w:charset w:val="86"/>
    <w:family w:val="auto"/>
    <w:pitch w:val="default"/>
    <w:sig w:usb0="A00002BF" w:usb1="38CF7CFA" w:usb2="00000016" w:usb3="00000000" w:csb0="0004009F" w:csb1="00000000"/>
  </w:font>
  <w:font w:name="Nimbus Roman No9 L">
    <w:panose1 w:val="00000000000000000000"/>
    <w:charset w:val="00"/>
    <w:family w:val="auto"/>
    <w:pitch w:val="default"/>
    <w:sig w:usb0="00000000" w:usb1="00000000" w:usb2="00000000" w:usb3="00000000" w:csb0="00000000" w:csb1="00000000"/>
  </w:font>
  <w:font w:name="Arial">
    <w:altName w:val="Nimbus Roman No9 L"/>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汉仪中圆B5">
    <w:panose1 w:val="02010600000101010101"/>
    <w:charset w:val="88"/>
    <w:family w:val="auto"/>
    <w:pitch w:val="default"/>
    <w:sig w:usb0="00000001" w:usb1="080E0800" w:usb2="00000002"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true"/>
  <w:bordersDoNotSurroundFooter w:val="true"/>
  <w:documentProtection w:enforcement="0"/>
  <w:defaultTabStop w:val="4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7C10"/>
    <w:rsid w:val="000274EE"/>
    <w:rsid w:val="00033E08"/>
    <w:rsid w:val="00034397"/>
    <w:rsid w:val="000368CA"/>
    <w:rsid w:val="00042E37"/>
    <w:rsid w:val="000456E5"/>
    <w:rsid w:val="00057D0F"/>
    <w:rsid w:val="00067075"/>
    <w:rsid w:val="000B5833"/>
    <w:rsid w:val="000B7A11"/>
    <w:rsid w:val="000C198D"/>
    <w:rsid w:val="000D2A14"/>
    <w:rsid w:val="000E3395"/>
    <w:rsid w:val="000E4F67"/>
    <w:rsid w:val="000E6FCE"/>
    <w:rsid w:val="001101CE"/>
    <w:rsid w:val="00126D98"/>
    <w:rsid w:val="001470A6"/>
    <w:rsid w:val="001829FC"/>
    <w:rsid w:val="001B5915"/>
    <w:rsid w:val="001C0779"/>
    <w:rsid w:val="001C11CA"/>
    <w:rsid w:val="001C237A"/>
    <w:rsid w:val="001C2A83"/>
    <w:rsid w:val="001C4F4E"/>
    <w:rsid w:val="001D6CC2"/>
    <w:rsid w:val="001E50EF"/>
    <w:rsid w:val="001E57E9"/>
    <w:rsid w:val="00205CB3"/>
    <w:rsid w:val="0021002C"/>
    <w:rsid w:val="002230FF"/>
    <w:rsid w:val="002372A7"/>
    <w:rsid w:val="00253F8C"/>
    <w:rsid w:val="002562DF"/>
    <w:rsid w:val="002565F5"/>
    <w:rsid w:val="00266BDF"/>
    <w:rsid w:val="002E0948"/>
    <w:rsid w:val="00301353"/>
    <w:rsid w:val="00314541"/>
    <w:rsid w:val="00351BA6"/>
    <w:rsid w:val="003D39B5"/>
    <w:rsid w:val="003E2F8F"/>
    <w:rsid w:val="004335A2"/>
    <w:rsid w:val="00437761"/>
    <w:rsid w:val="0043790F"/>
    <w:rsid w:val="00444AC0"/>
    <w:rsid w:val="0045151D"/>
    <w:rsid w:val="004613BC"/>
    <w:rsid w:val="00463765"/>
    <w:rsid w:val="00483E06"/>
    <w:rsid w:val="00486450"/>
    <w:rsid w:val="004916D4"/>
    <w:rsid w:val="004970C9"/>
    <w:rsid w:val="004B5B55"/>
    <w:rsid w:val="004D5B0C"/>
    <w:rsid w:val="004E4D8B"/>
    <w:rsid w:val="004E6971"/>
    <w:rsid w:val="004F2212"/>
    <w:rsid w:val="00503EE7"/>
    <w:rsid w:val="00506770"/>
    <w:rsid w:val="005117D6"/>
    <w:rsid w:val="005175F7"/>
    <w:rsid w:val="00535FC7"/>
    <w:rsid w:val="00581515"/>
    <w:rsid w:val="00586E89"/>
    <w:rsid w:val="00590BB2"/>
    <w:rsid w:val="005A12DA"/>
    <w:rsid w:val="005A1A6D"/>
    <w:rsid w:val="005A55E2"/>
    <w:rsid w:val="005A659B"/>
    <w:rsid w:val="005B6423"/>
    <w:rsid w:val="005C2A3E"/>
    <w:rsid w:val="005D59EA"/>
    <w:rsid w:val="005F0866"/>
    <w:rsid w:val="0061254A"/>
    <w:rsid w:val="00620577"/>
    <w:rsid w:val="006407EB"/>
    <w:rsid w:val="006464FF"/>
    <w:rsid w:val="006603A1"/>
    <w:rsid w:val="00665D4F"/>
    <w:rsid w:val="00692B10"/>
    <w:rsid w:val="006C00D6"/>
    <w:rsid w:val="006C16FE"/>
    <w:rsid w:val="006C1D38"/>
    <w:rsid w:val="006D4B05"/>
    <w:rsid w:val="006E0CE4"/>
    <w:rsid w:val="006E3584"/>
    <w:rsid w:val="007130D5"/>
    <w:rsid w:val="0071392A"/>
    <w:rsid w:val="007168B4"/>
    <w:rsid w:val="00723DF9"/>
    <w:rsid w:val="00724AA7"/>
    <w:rsid w:val="007258B3"/>
    <w:rsid w:val="0075247B"/>
    <w:rsid w:val="00770815"/>
    <w:rsid w:val="007836E8"/>
    <w:rsid w:val="007A04B8"/>
    <w:rsid w:val="007A25EB"/>
    <w:rsid w:val="007B25F7"/>
    <w:rsid w:val="007C4C22"/>
    <w:rsid w:val="007D4D69"/>
    <w:rsid w:val="007D7591"/>
    <w:rsid w:val="007E402C"/>
    <w:rsid w:val="008004D7"/>
    <w:rsid w:val="00813B37"/>
    <w:rsid w:val="008149D9"/>
    <w:rsid w:val="008219FC"/>
    <w:rsid w:val="00821D0C"/>
    <w:rsid w:val="0082204C"/>
    <w:rsid w:val="008439E7"/>
    <w:rsid w:val="0085268B"/>
    <w:rsid w:val="0085488A"/>
    <w:rsid w:val="00860CF9"/>
    <w:rsid w:val="00876E3A"/>
    <w:rsid w:val="00891043"/>
    <w:rsid w:val="008A012D"/>
    <w:rsid w:val="008B76CB"/>
    <w:rsid w:val="008B7E60"/>
    <w:rsid w:val="008D50AF"/>
    <w:rsid w:val="009267CF"/>
    <w:rsid w:val="00932349"/>
    <w:rsid w:val="00953C90"/>
    <w:rsid w:val="00956C72"/>
    <w:rsid w:val="0097654A"/>
    <w:rsid w:val="0097669C"/>
    <w:rsid w:val="00981463"/>
    <w:rsid w:val="009967C5"/>
    <w:rsid w:val="009A2153"/>
    <w:rsid w:val="009C0D74"/>
    <w:rsid w:val="009D4D35"/>
    <w:rsid w:val="009D70D1"/>
    <w:rsid w:val="009D71B2"/>
    <w:rsid w:val="009E0736"/>
    <w:rsid w:val="009F5D14"/>
    <w:rsid w:val="00A0112D"/>
    <w:rsid w:val="00A17977"/>
    <w:rsid w:val="00A33CF7"/>
    <w:rsid w:val="00A608FE"/>
    <w:rsid w:val="00A640C3"/>
    <w:rsid w:val="00A83216"/>
    <w:rsid w:val="00A83DB4"/>
    <w:rsid w:val="00AB269D"/>
    <w:rsid w:val="00AB5A6D"/>
    <w:rsid w:val="00AC1ED4"/>
    <w:rsid w:val="00AC39A2"/>
    <w:rsid w:val="00AD7A1F"/>
    <w:rsid w:val="00B0242D"/>
    <w:rsid w:val="00B25EF1"/>
    <w:rsid w:val="00B3543C"/>
    <w:rsid w:val="00B519B9"/>
    <w:rsid w:val="00B66313"/>
    <w:rsid w:val="00B7484B"/>
    <w:rsid w:val="00BB137E"/>
    <w:rsid w:val="00BB2661"/>
    <w:rsid w:val="00BC66B2"/>
    <w:rsid w:val="00BE6079"/>
    <w:rsid w:val="00BE72D8"/>
    <w:rsid w:val="00BF19E7"/>
    <w:rsid w:val="00BF33D8"/>
    <w:rsid w:val="00BF6CDE"/>
    <w:rsid w:val="00C06AFB"/>
    <w:rsid w:val="00C11C50"/>
    <w:rsid w:val="00C150B9"/>
    <w:rsid w:val="00C21FD7"/>
    <w:rsid w:val="00C31F9B"/>
    <w:rsid w:val="00C35835"/>
    <w:rsid w:val="00C77FA4"/>
    <w:rsid w:val="00C835C9"/>
    <w:rsid w:val="00C84476"/>
    <w:rsid w:val="00C84CB3"/>
    <w:rsid w:val="00C908AB"/>
    <w:rsid w:val="00CA677C"/>
    <w:rsid w:val="00CB640A"/>
    <w:rsid w:val="00CD1CD6"/>
    <w:rsid w:val="00CD5AC7"/>
    <w:rsid w:val="00CD7838"/>
    <w:rsid w:val="00CD7D85"/>
    <w:rsid w:val="00CE6601"/>
    <w:rsid w:val="00CE7D93"/>
    <w:rsid w:val="00CF1E35"/>
    <w:rsid w:val="00D01318"/>
    <w:rsid w:val="00D14C84"/>
    <w:rsid w:val="00D52996"/>
    <w:rsid w:val="00D67B5A"/>
    <w:rsid w:val="00D83E9A"/>
    <w:rsid w:val="00DB55E7"/>
    <w:rsid w:val="00DB6E66"/>
    <w:rsid w:val="00DD297F"/>
    <w:rsid w:val="00DF094B"/>
    <w:rsid w:val="00DF5967"/>
    <w:rsid w:val="00DF6BF0"/>
    <w:rsid w:val="00E1654E"/>
    <w:rsid w:val="00E21F3A"/>
    <w:rsid w:val="00E474C5"/>
    <w:rsid w:val="00E71715"/>
    <w:rsid w:val="00E7439A"/>
    <w:rsid w:val="00E77C94"/>
    <w:rsid w:val="00E86555"/>
    <w:rsid w:val="00E96DD3"/>
    <w:rsid w:val="00EA1C64"/>
    <w:rsid w:val="00EA2BA5"/>
    <w:rsid w:val="00EB7205"/>
    <w:rsid w:val="00EB7C10"/>
    <w:rsid w:val="00EC447A"/>
    <w:rsid w:val="00ED249B"/>
    <w:rsid w:val="00ED252C"/>
    <w:rsid w:val="00ED5AE5"/>
    <w:rsid w:val="00EF3AA7"/>
    <w:rsid w:val="00F05500"/>
    <w:rsid w:val="00F16A5D"/>
    <w:rsid w:val="00F175CB"/>
    <w:rsid w:val="00F21F57"/>
    <w:rsid w:val="00F4109D"/>
    <w:rsid w:val="00F534A1"/>
    <w:rsid w:val="00F73019"/>
    <w:rsid w:val="00F74A17"/>
    <w:rsid w:val="00F74D81"/>
    <w:rsid w:val="00F818F3"/>
    <w:rsid w:val="00F97811"/>
    <w:rsid w:val="00FD059E"/>
    <w:rsid w:val="00FD32B4"/>
    <w:rsid w:val="3DEE0FAF"/>
    <w:rsid w:val="6F7E9640"/>
    <w:rsid w:val="7C6D394D"/>
    <w:rsid w:val="E689A211"/>
    <w:rsid w:val="FEF7EC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560" w:lineRule="exact"/>
      <w:ind w:firstLine="200" w:firstLineChars="200"/>
      <w:jc w:val="both"/>
    </w:pPr>
    <w:rPr>
      <w:rFonts w:ascii="Times New Roman" w:hAnsi="Times New Roman" w:eastAsia="仿宋_GB2312" w:cstheme="minorBidi"/>
      <w:kern w:val="2"/>
      <w:sz w:val="32"/>
      <w:szCs w:val="22"/>
      <w:lang w:val="en-US" w:eastAsia="zh-CN" w:bidi="ar-SA"/>
      <w14:ligatures w14:val="standardContextual"/>
    </w:rPr>
  </w:style>
  <w:style w:type="paragraph" w:styleId="2">
    <w:name w:val="heading 1"/>
    <w:basedOn w:val="1"/>
    <w:next w:val="1"/>
    <w:link w:val="17"/>
    <w:qFormat/>
    <w:uiPriority w:val="9"/>
    <w:pPr>
      <w:keepNext/>
      <w:keepLines/>
      <w:spacing w:line="360" w:lineRule="auto"/>
      <w:outlineLvl w:val="0"/>
    </w:pPr>
    <w:rPr>
      <w:rFonts w:eastAsia="黑体"/>
      <w:bCs/>
      <w:kern w:val="44"/>
      <w:szCs w:val="44"/>
    </w:rPr>
  </w:style>
  <w:style w:type="paragraph" w:styleId="3">
    <w:name w:val="heading 2"/>
    <w:basedOn w:val="1"/>
    <w:next w:val="1"/>
    <w:link w:val="18"/>
    <w:unhideWhenUsed/>
    <w:qFormat/>
    <w:uiPriority w:val="9"/>
    <w:pPr>
      <w:keepNext/>
      <w:keepLines/>
      <w:spacing w:line="360" w:lineRule="auto"/>
      <w:ind w:firstLine="640"/>
      <w:outlineLvl w:val="1"/>
    </w:pPr>
    <w:rPr>
      <w:rFonts w:eastAsia="楷体_GB2312" w:cstheme="majorBidi"/>
      <w:szCs w:val="32"/>
    </w:rPr>
  </w:style>
  <w:style w:type="paragraph" w:styleId="4">
    <w:name w:val="heading 3"/>
    <w:basedOn w:val="1"/>
    <w:next w:val="1"/>
    <w:link w:val="19"/>
    <w:unhideWhenUsed/>
    <w:qFormat/>
    <w:uiPriority w:val="9"/>
    <w:pPr>
      <w:keepNext/>
      <w:keepLines/>
      <w:spacing w:line="360" w:lineRule="auto"/>
      <w:outlineLvl w:val="2"/>
    </w:pPr>
    <w:rPr>
      <w:b/>
      <w:bCs/>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unhideWhenUsed/>
    <w:qFormat/>
    <w:uiPriority w:val="99"/>
    <w:pPr>
      <w:ind w:firstLine="420"/>
      <w:jc w:val="left"/>
    </w:pPr>
    <w:rPr>
      <w:szCs w:val="32"/>
      <w14:ligatures w14:val="none"/>
    </w:rPr>
  </w:style>
  <w:style w:type="paragraph" w:styleId="6">
    <w:name w:val="annotation text"/>
    <w:basedOn w:val="1"/>
    <w:link w:val="25"/>
    <w:unhideWhenUsed/>
    <w:qFormat/>
    <w:uiPriority w:val="99"/>
    <w:pPr>
      <w:jc w:val="left"/>
    </w:pPr>
  </w:style>
  <w:style w:type="paragraph" w:styleId="7">
    <w:name w:val="footer"/>
    <w:basedOn w:val="1"/>
    <w:link w:val="23"/>
    <w:unhideWhenUsed/>
    <w:qFormat/>
    <w:uiPriority w:val="99"/>
    <w:pPr>
      <w:tabs>
        <w:tab w:val="center" w:pos="4153"/>
        <w:tab w:val="right" w:pos="8306"/>
      </w:tabs>
      <w:snapToGrid w:val="0"/>
      <w:spacing w:line="240" w:lineRule="atLeast"/>
      <w:jc w:val="left"/>
    </w:pPr>
    <w:rPr>
      <w:sz w:val="18"/>
      <w:szCs w:val="18"/>
    </w:rPr>
  </w:style>
  <w:style w:type="paragraph" w:styleId="8">
    <w:name w:val="header"/>
    <w:basedOn w:val="1"/>
    <w:link w:val="22"/>
    <w:unhideWhenUsed/>
    <w:qFormat/>
    <w:uiPriority w:val="99"/>
    <w:pPr>
      <w:tabs>
        <w:tab w:val="center" w:pos="4153"/>
        <w:tab w:val="right" w:pos="8306"/>
      </w:tabs>
      <w:snapToGrid w:val="0"/>
      <w:spacing w:line="240" w:lineRule="atLeast"/>
      <w:jc w:val="center"/>
    </w:pPr>
    <w:rPr>
      <w:sz w:val="18"/>
      <w:szCs w:val="18"/>
    </w:rPr>
  </w:style>
  <w:style w:type="paragraph" w:styleId="9">
    <w:name w:val="Normal (Web)"/>
    <w:basedOn w:val="1"/>
    <w:semiHidden/>
    <w:unhideWhenUsed/>
    <w:qFormat/>
    <w:uiPriority w:val="99"/>
    <w:rPr>
      <w:rFonts w:cs="Times New Roman"/>
      <w:sz w:val="24"/>
      <w:szCs w:val="24"/>
    </w:rPr>
  </w:style>
  <w:style w:type="paragraph" w:styleId="10">
    <w:name w:val="Title"/>
    <w:basedOn w:val="1"/>
    <w:next w:val="1"/>
    <w:link w:val="16"/>
    <w:qFormat/>
    <w:uiPriority w:val="10"/>
    <w:pPr>
      <w:spacing w:before="240" w:after="240"/>
      <w:jc w:val="center"/>
      <w:outlineLvl w:val="0"/>
    </w:pPr>
    <w:rPr>
      <w:rFonts w:eastAsia="方正小标宋简体" w:cstheme="majorBidi"/>
      <w:bCs/>
      <w:sz w:val="44"/>
      <w:szCs w:val="32"/>
    </w:rPr>
  </w:style>
  <w:style w:type="paragraph" w:styleId="11">
    <w:name w:val="annotation subject"/>
    <w:basedOn w:val="6"/>
    <w:next w:val="6"/>
    <w:link w:val="26"/>
    <w:semiHidden/>
    <w:unhideWhenUsed/>
    <w:qFormat/>
    <w:uiPriority w:val="99"/>
    <w:rPr>
      <w:b/>
      <w:bCs/>
    </w:rPr>
  </w:style>
  <w:style w:type="character" w:styleId="14">
    <w:name w:val="Hyperlink"/>
    <w:basedOn w:val="13"/>
    <w:unhideWhenUsed/>
    <w:qFormat/>
    <w:uiPriority w:val="99"/>
    <w:rPr>
      <w:color w:val="0563C1" w:themeColor="hyperlink"/>
      <w:u w:val="single"/>
      <w14:textFill>
        <w14:solidFill>
          <w14:schemeClr w14:val="hlink"/>
        </w14:solidFill>
      </w14:textFill>
    </w:rPr>
  </w:style>
  <w:style w:type="character" w:styleId="15">
    <w:name w:val="annotation reference"/>
    <w:basedOn w:val="13"/>
    <w:semiHidden/>
    <w:unhideWhenUsed/>
    <w:qFormat/>
    <w:uiPriority w:val="99"/>
    <w:rPr>
      <w:sz w:val="21"/>
      <w:szCs w:val="21"/>
    </w:rPr>
  </w:style>
  <w:style w:type="character" w:customStyle="1" w:styleId="16">
    <w:name w:val="标题 字符"/>
    <w:basedOn w:val="13"/>
    <w:link w:val="10"/>
    <w:qFormat/>
    <w:uiPriority w:val="10"/>
    <w:rPr>
      <w:rFonts w:ascii="Times New Roman" w:hAnsi="Times New Roman" w:eastAsia="方正小标宋简体" w:cstheme="majorBidi"/>
      <w:bCs/>
      <w:sz w:val="44"/>
      <w:szCs w:val="32"/>
    </w:rPr>
  </w:style>
  <w:style w:type="character" w:customStyle="1" w:styleId="17">
    <w:name w:val="标题 1 字符"/>
    <w:basedOn w:val="13"/>
    <w:link w:val="2"/>
    <w:qFormat/>
    <w:uiPriority w:val="9"/>
    <w:rPr>
      <w:rFonts w:ascii="Times New Roman" w:hAnsi="Times New Roman" w:eastAsia="黑体"/>
      <w:bCs/>
      <w:kern w:val="44"/>
      <w:sz w:val="32"/>
      <w:szCs w:val="44"/>
    </w:rPr>
  </w:style>
  <w:style w:type="character" w:customStyle="1" w:styleId="18">
    <w:name w:val="标题 2 字符"/>
    <w:basedOn w:val="13"/>
    <w:link w:val="3"/>
    <w:qFormat/>
    <w:uiPriority w:val="9"/>
    <w:rPr>
      <w:rFonts w:ascii="Times New Roman" w:hAnsi="Times New Roman" w:eastAsia="楷体_GB2312" w:cstheme="majorBidi"/>
      <w:sz w:val="32"/>
      <w:szCs w:val="32"/>
    </w:rPr>
  </w:style>
  <w:style w:type="character" w:customStyle="1" w:styleId="19">
    <w:name w:val="标题 3 字符"/>
    <w:basedOn w:val="13"/>
    <w:link w:val="4"/>
    <w:qFormat/>
    <w:uiPriority w:val="9"/>
    <w:rPr>
      <w:rFonts w:ascii="Times New Roman" w:hAnsi="Times New Roman" w:eastAsia="仿宋_GB2312"/>
      <w:b/>
      <w:bCs/>
      <w:sz w:val="32"/>
      <w:szCs w:val="32"/>
    </w:rPr>
  </w:style>
  <w:style w:type="paragraph" w:styleId="20">
    <w:name w:val="List Paragraph"/>
    <w:basedOn w:val="1"/>
    <w:qFormat/>
    <w:uiPriority w:val="34"/>
    <w:pPr>
      <w:ind w:firstLine="420"/>
    </w:pPr>
  </w:style>
  <w:style w:type="paragraph" w:styleId="21">
    <w:name w:val="No Spacing"/>
    <w:qFormat/>
    <w:uiPriority w:val="1"/>
    <w:pPr>
      <w:widowControl w:val="0"/>
      <w:spacing w:after="160" w:line="579" w:lineRule="exact"/>
      <w:jc w:val="center"/>
    </w:pPr>
    <w:rPr>
      <w:rFonts w:ascii="Times New Roman" w:hAnsi="Times New Roman" w:eastAsia="方正小标宋简体" w:cs="Times New Roman"/>
      <w:kern w:val="2"/>
      <w:sz w:val="44"/>
      <w:szCs w:val="32"/>
      <w:lang w:val="en-US" w:eastAsia="zh-CN" w:bidi="ar-SA"/>
    </w:rPr>
  </w:style>
  <w:style w:type="character" w:customStyle="1" w:styleId="22">
    <w:name w:val="页眉 字符"/>
    <w:basedOn w:val="13"/>
    <w:link w:val="8"/>
    <w:qFormat/>
    <w:uiPriority w:val="99"/>
    <w:rPr>
      <w:rFonts w:ascii="Times New Roman" w:hAnsi="Times New Roman" w:eastAsia="仿宋_GB2312"/>
      <w:sz w:val="18"/>
      <w:szCs w:val="18"/>
    </w:rPr>
  </w:style>
  <w:style w:type="character" w:customStyle="1" w:styleId="23">
    <w:name w:val="页脚 字符"/>
    <w:basedOn w:val="13"/>
    <w:link w:val="7"/>
    <w:qFormat/>
    <w:uiPriority w:val="99"/>
    <w:rPr>
      <w:rFonts w:ascii="Times New Roman" w:hAnsi="Times New Roman" w:eastAsia="仿宋_GB2312"/>
      <w:sz w:val="18"/>
      <w:szCs w:val="18"/>
    </w:rPr>
  </w:style>
  <w:style w:type="paragraph" w:customStyle="1" w:styleId="24">
    <w:name w:val="修订1"/>
    <w:hidden/>
    <w:semiHidden/>
    <w:qFormat/>
    <w:uiPriority w:val="99"/>
    <w:pPr>
      <w:spacing w:after="160" w:line="278" w:lineRule="auto"/>
    </w:pPr>
    <w:rPr>
      <w:rFonts w:ascii="Times New Roman" w:hAnsi="Times New Roman" w:eastAsia="仿宋_GB2312" w:cstheme="minorBidi"/>
      <w:kern w:val="2"/>
      <w:sz w:val="32"/>
      <w:szCs w:val="22"/>
      <w:lang w:val="en-US" w:eastAsia="zh-CN" w:bidi="ar-SA"/>
      <w14:ligatures w14:val="standardContextual"/>
    </w:rPr>
  </w:style>
  <w:style w:type="character" w:customStyle="1" w:styleId="25">
    <w:name w:val="批注文字 字符"/>
    <w:basedOn w:val="13"/>
    <w:link w:val="6"/>
    <w:qFormat/>
    <w:uiPriority w:val="99"/>
    <w:rPr>
      <w:rFonts w:ascii="Times New Roman" w:hAnsi="Times New Roman" w:eastAsia="仿宋_GB2312"/>
      <w:sz w:val="32"/>
    </w:rPr>
  </w:style>
  <w:style w:type="character" w:customStyle="1" w:styleId="26">
    <w:name w:val="批注主题 字符"/>
    <w:basedOn w:val="25"/>
    <w:link w:val="11"/>
    <w:semiHidden/>
    <w:qFormat/>
    <w:uiPriority w:val="99"/>
    <w:rPr>
      <w:rFonts w:ascii="Times New Roman" w:hAnsi="Times New Roman" w:eastAsia="仿宋_GB2312"/>
      <w:b/>
      <w:bCs/>
      <w:sz w:val="32"/>
    </w:rPr>
  </w:style>
  <w:style w:type="character" w:customStyle="1" w:styleId="27">
    <w:name w:val="未处理的提及1"/>
    <w:basedOn w:val="13"/>
    <w:semiHidden/>
    <w:unhideWhenUsed/>
    <w:qFormat/>
    <w:uiPriority w:val="99"/>
    <w:rPr>
      <w:color w:val="605E5C"/>
      <w:shd w:val="clear" w:color="auto" w:fill="E1DFDD"/>
    </w:rPr>
  </w:style>
  <w:style w:type="paragraph" w:customStyle="1" w:styleId="28">
    <w:name w:val="Revision"/>
    <w:hidden/>
    <w:unhideWhenUsed/>
    <w:qFormat/>
    <w:uiPriority w:val="99"/>
    <w:pPr>
      <w:spacing w:after="0" w:line="240" w:lineRule="auto"/>
    </w:pPr>
    <w:rPr>
      <w:rFonts w:ascii="Times New Roman" w:hAnsi="Times New Roman" w:eastAsia="仿宋_GB2312" w:cstheme="minorBidi"/>
      <w:kern w:val="2"/>
      <w:sz w:val="32"/>
      <w:szCs w:val="22"/>
      <w:lang w:val="en-US" w:eastAsia="zh-CN" w:bidi="ar-SA"/>
      <w14:ligatures w14:val="standardContextual"/>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1458</Words>
  <Characters>1518</Characters>
  <Lines>75</Lines>
  <Paragraphs>53</Paragraphs>
  <TotalTime>19</TotalTime>
  <ScaleCrop>false</ScaleCrop>
  <LinksUpToDate>false</LinksUpToDate>
  <CharactersWithSpaces>2923</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2025-04-30T17:24:00Z</dcterms:created>
  <dc:creator>tangling</dc:creator>
  <cp:lastModifiedBy>瓜瓜</cp:lastModifiedBy>
  <dcterms:modified xsi:type="dcterms:W3CDTF">2025-05-13T17:18:44Z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ies>
</file>