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40" w:firstLineChars="200"/>
        <w:outlineLvl w:val="9"/>
        <w:rPr>
          <w:rFonts w:hint="eastAsia" w:ascii="黑体" w:hAnsi="黑体" w:eastAsia="黑体" w:cs="黑体"/>
          <w:sz w:val="32"/>
          <w:szCs w:val="22"/>
          <w:highlight w:val="none"/>
          <w:lang w:eastAsia="zh-CN"/>
        </w:rPr>
      </w:pPr>
      <w:r>
        <w:rPr>
          <w:rFonts w:hint="default" w:ascii="黑体" w:hAnsi="黑体" w:eastAsia="黑体" w:cs="黑体"/>
          <w:sz w:val="32"/>
          <w:szCs w:val="22"/>
          <w:highlight w:val="none"/>
        </w:rPr>
        <w:t>附件</w:t>
      </w:r>
      <w:r>
        <w:rPr>
          <w:rFonts w:hint="eastAsia" w:ascii="黑体" w:hAnsi="黑体" w:eastAsia="黑体" w:cs="黑体"/>
          <w:sz w:val="32"/>
          <w:szCs w:val="2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cs="Times New Roman"/>
          <w:szCs w:val="18"/>
          <w:highlight w:val="none"/>
        </w:rPr>
      </w:pPr>
      <w:r>
        <w:rPr>
          <w:rFonts w:hint="default" w:ascii="Times New Roman" w:hAnsi="Times New Roman" w:eastAsia="方正小标宋简体" w:cs="Times New Roman"/>
          <w:sz w:val="44"/>
          <w:szCs w:val="18"/>
          <w:highlight w:val="none"/>
        </w:rPr>
        <w:t>填表说明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1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申报普惠性奖补资金，符合</w:t>
      </w:r>
      <w:r>
        <w:rPr>
          <w:rFonts w:hint="eastAsia" w:ascii="仿宋_GB2312" w:hAnsi="仿宋_GB2312" w:eastAsia="仿宋_GB2312" w:cs="仿宋_GB2312"/>
          <w:sz w:val="32"/>
          <w:szCs w:val="32"/>
          <w:highlight w:val="none"/>
        </w:rPr>
        <w:t>珠三角地区的规模以上工业企业整体转移进入粤东西北省产业园进行技术改造、转型升级；珠三角地区的规模以上工业企业在粤东西北省产业转移园设立的分厂或独立核算生产线等增资扩产项目；珠三角地区的规模以上工业企业把总部留在珠三角地区，将生产制造环节转移到粤东西北省产业园的企业或项目；依托珠三角地区主导产业，通过延伸产业链或随珠三角主导企业一并转移到粤东西北省产业园发展的规模以上配套企业；珠三角地区整体转移进入粤东西北省产业园的拥有较稳定国际市场份额的规模以上加工贸易企业等的条件之一的企业或项目，填写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-1和附件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申报普惠性奖补资金，属于</w:t>
      </w:r>
      <w:r>
        <w:rPr>
          <w:rFonts w:hint="eastAsia" w:ascii="仿宋_GB2312" w:hAnsi="仿宋_GB2312" w:eastAsia="仿宋_GB2312" w:cs="仿宋_GB2312"/>
          <w:sz w:val="32"/>
          <w:szCs w:val="32"/>
          <w:highlight w:val="none"/>
        </w:rPr>
        <w:t>珠三角地区整体转移进入粤东西北省产业园对扩大园区当地就业容量有较大贡献的规模以上劳动密集型企业，填写附件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-2和附件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申报普惠性奖补资金，属于</w:t>
      </w:r>
      <w:r>
        <w:rPr>
          <w:rFonts w:hint="eastAsia" w:ascii="仿宋_GB2312" w:hAnsi="仿宋_GB2312" w:eastAsia="仿宋_GB2312" w:cs="仿宋_GB2312"/>
          <w:sz w:val="32"/>
          <w:szCs w:val="32"/>
          <w:highlight w:val="none"/>
        </w:rPr>
        <w:t>随制造业转移进入粤东西北地区的配套完善技术研发、检测计量、工业设计、信息服务、现代金融、现代物流等的生产性服务企业，填写附件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-3和附件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如珠三角投资企业为多个企业时，珠三角企业基本情况只填写控</w:t>
      </w:r>
      <w:r>
        <w:rPr>
          <w:rFonts w:hint="eastAsia" w:ascii="仿宋_GB2312" w:hAnsi="仿宋_GB2312" w:eastAsia="仿宋_GB2312" w:cs="仿宋_GB2312"/>
          <w:sz w:val="32"/>
          <w:szCs w:val="32"/>
          <w:highlight w:val="none"/>
        </w:rPr>
        <w:t>股企业的信息。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lang w:val="en-US" w:eastAsia="zh-CN"/>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行业类别按国民经济行业分类（GB/T 4754-201</w:t>
      </w:r>
      <w:r>
        <w:rPr>
          <w:rFonts w:hint="eastAsia" w:ascii="仿宋_GB2312" w:hAnsi="仿宋_GB2312" w:eastAsia="仿宋_GB2312" w:cs="仿宋_GB2312"/>
          <w:sz w:val="32"/>
          <w:szCs w:val="18"/>
          <w:highlight w:val="none"/>
          <w:lang w:val="en-US" w:eastAsia="zh-CN"/>
        </w:rPr>
        <w:t>7</w:t>
      </w:r>
      <w:r>
        <w:rPr>
          <w:rFonts w:hint="eastAsia" w:ascii="仿宋_GB2312" w:hAnsi="仿宋_GB2312" w:eastAsia="仿宋_GB2312" w:cs="仿宋_GB2312"/>
          <w:sz w:val="32"/>
          <w:szCs w:val="18"/>
          <w:highlight w:val="none"/>
        </w:rPr>
        <w:t>）规范填写，一般具体到二级产业目录</w:t>
      </w:r>
      <w:r>
        <w:rPr>
          <w:rFonts w:hint="eastAsia" w:ascii="仿宋_GB2312" w:hAnsi="仿宋_GB2312" w:eastAsia="仿宋_GB2312" w:cs="仿宋_GB2312"/>
          <w:sz w:val="32"/>
          <w:szCs w:val="18"/>
          <w:highlight w:val="none"/>
          <w:lang w:eastAsia="zh-CN"/>
        </w:rPr>
        <w:t>（</w:t>
      </w:r>
      <w:r>
        <w:rPr>
          <w:rFonts w:hint="eastAsia" w:ascii="仿宋_GB2312" w:hAnsi="仿宋_GB2312" w:eastAsia="仿宋_GB2312" w:cs="仿宋_GB2312"/>
          <w:sz w:val="32"/>
          <w:szCs w:val="18"/>
          <w:highlight w:val="none"/>
          <w:lang w:val="en-US" w:eastAsia="zh-CN"/>
        </w:rPr>
        <w:t>4位行业代码</w:t>
      </w:r>
      <w:r>
        <w:rPr>
          <w:rFonts w:hint="eastAsia" w:ascii="仿宋_GB2312" w:hAnsi="仿宋_GB2312" w:eastAsia="仿宋_GB2312" w:cs="仿宋_GB2312"/>
          <w:sz w:val="32"/>
          <w:szCs w:val="18"/>
          <w:highlight w:val="none"/>
          <w:lang w:eastAsia="zh-CN"/>
        </w:rPr>
        <w:t>）</w:t>
      </w:r>
      <w:r>
        <w:rPr>
          <w:rFonts w:hint="eastAsia" w:ascii="仿宋_GB2312" w:hAnsi="仿宋_GB2312" w:eastAsia="仿宋_GB2312" w:cs="仿宋_GB2312"/>
          <w:sz w:val="32"/>
          <w:szCs w:val="1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lang w:val="en-US" w:eastAsia="zh-CN"/>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签约时间、投资方出资比例根据投资计划书或投资协议等文件填写。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rPr>
      </w:pPr>
      <w:r>
        <w:rPr>
          <w:rFonts w:hint="eastAsia" w:ascii="仿宋_GB2312" w:hAnsi="仿宋_GB2312" w:eastAsia="仿宋_GB2312" w:cs="仿宋_GB2312"/>
          <w:sz w:val="32"/>
          <w:szCs w:val="18"/>
          <w:highlight w:val="none"/>
          <w:lang w:val="en-US" w:eastAsia="zh-CN"/>
        </w:rPr>
        <w:t>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18"/>
          <w:highlight w:val="none"/>
        </w:rPr>
        <w:t>实际投资总额是指截至申报时项目累计完成的投资总额。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18"/>
          <w:highlight w:val="none"/>
          <w:lang w:val="en-US" w:eastAsia="zh-CN"/>
        </w:rPr>
      </w:pPr>
      <w:r>
        <w:rPr>
          <w:rFonts w:hint="eastAsia" w:ascii="仿宋_GB2312" w:hAnsi="仿宋_GB2312" w:eastAsia="仿宋_GB2312" w:cs="仿宋_GB2312"/>
          <w:sz w:val="32"/>
          <w:szCs w:val="18"/>
          <w:highlight w:val="none"/>
          <w:lang w:val="en-US" w:eastAsia="zh-CN"/>
        </w:rPr>
        <w:t>8</w:t>
      </w:r>
      <w:r>
        <w:rPr>
          <w:rFonts w:hint="eastAsia" w:ascii="仿宋_GB2312" w:hAnsi="仿宋_GB2312" w:eastAsia="仿宋_GB2312" w:cs="仿宋_GB2312"/>
          <w:sz w:val="32"/>
          <w:szCs w:val="32"/>
          <w:highlight w:val="none"/>
          <w:lang w:val="en-US" w:eastAsia="zh-CN"/>
        </w:rPr>
        <w:t>.新设的外商投资项目，比照申报普惠性奖补资金的类型，填写相应的附件4和附件6。</w:t>
      </w:r>
    </w:p>
    <w:p/>
    <w:sectPr>
      <w:pgSz w:w="11906" w:h="16838"/>
      <w:pgMar w:top="1531"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96051"/>
    <w:rsid w:val="08596051"/>
    <w:rsid w:val="5745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34</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2024-02-02T02:21:00Z</dcterms:created>
  <dc:creator>zoe</dc:creator>
  <cp:lastModifiedBy>郑蒋馨</cp:lastModifiedBy>
  <dcterms:modified xsi:type="dcterms:W3CDTF">2025-04-29T06:54:22Z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C2C22693FE4F419B87B20411BA351389</vt:lpwstr>
  </property>
</Properties>
</file>