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E9EA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《深圳市工业和信息化产业发展专项资金管理办法》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起草说明</w:t>
      </w:r>
    </w:p>
    <w:p w14:paraId="09B9FF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17B48D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根据《深圳市行政机关规范性文件管理规定》，考虑到《深圳市工业和信息化产业发展专项资金管理办法》（深工信规〔2020〕9号，以下简称2020版《管理办法》）于2025年5月7日到期失效，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为更好地规范和加强深圳市工业和信息化产业发展专项资金管理，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确保市工业和信息化产业发展专项资金管理有法可依，市工业和信息化局对2020版《管理办法》进行了修订完善，形成《深圳市工业和信息化产业发展专项资金管理办法》（以下简称：《管理办法》），说明如下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</w:t>
      </w:r>
    </w:p>
    <w:p w14:paraId="6A6A265C">
      <w:pPr>
        <w:spacing w:line="560" w:lineRule="exact"/>
        <w:ind w:firstLine="640" w:firstLineChars="200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一、基本情况</w:t>
      </w:r>
    </w:p>
    <w:p w14:paraId="26C65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（一）起草背景。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4月，市工业和信息化局会同市财政局出台了2020版《管理办法》，自实施以来，为市级工信领域专项资金规范化管理提供了有力的法规保障。2025年5月，2020版《管理办法》到期失效，为进一步规范市级工信领域专项资金管理，提升资金管理使用工作质量和水平，结合巡视巡察、纪委和审计等工作新要求，在2020版《管理办法》基础上进行了修订完善。</w:t>
      </w:r>
    </w:p>
    <w:p w14:paraId="088C5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（二）编制过程情况。</w:t>
      </w:r>
    </w:p>
    <w:p w14:paraId="3DBD0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年上半年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，市工业和信息化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启动了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《管理办法》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修订工作，在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工业和信息化领域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产业发展专项资金管理工作中遇到的关键问题和工作机制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基础上</w:t>
      </w:r>
      <w:r>
        <w:rPr>
          <w:rFonts w:hint="eastAsia" w:ascii="仿宋_GB2312" w:hAnsi="仿宋_GB2312" w:eastAsia="仿宋_GB2312" w:cs="仿宋_GB2312"/>
          <w:sz w:val="32"/>
          <w:szCs w:val="32"/>
        </w:rPr>
        <w:t>，以问题为导向，科学合理进行职责划分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。同时，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按照重大行政决策事项制定程序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社会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公开征求意见、有关部门征求意见、听证会、专家论证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和风险评估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sz w:val="32"/>
          <w:szCs w:val="32"/>
        </w:rPr>
        <w:t>等程序，并综合各方意见修订完善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一是召开座谈交流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与市发改委、市科创局等多个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部门开展了座谈交流。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二是开展实地调研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，专门赴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南山区工信局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等重点区工信主管部门，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进行了</w:t>
      </w:r>
      <w:r>
        <w:rPr>
          <w:rFonts w:hint="eastAsia" w:ascii="仿宋_GB2312" w:hAnsi="仿宋_GB2312" w:eastAsia="仿宋_GB2312" w:cs="仿宋_GB2312"/>
          <w:sz w:val="32"/>
          <w:szCs w:val="32"/>
        </w:rPr>
        <w:t>先期调研和论证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三是公开征求意见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，收集社会公开征求意见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2条，有关意见均已采纳。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四是书面征求意见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向市直各有关部门、各区征求意见，共收到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38条意见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，有关意见均已采纳。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五是司法审查意见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，经司法局合法性审查，共收到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2条意见，有关意见均已采纳。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六是开展公平竞争审查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，经审查，《管理办法》不具有排除、限制竞争效果的内容。</w:t>
      </w:r>
    </w:p>
    <w:p w14:paraId="5D8216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二、主要内容</w:t>
      </w:r>
    </w:p>
    <w:p w14:paraId="195FE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管理办法共八章三十三条。</w:t>
      </w:r>
    </w:p>
    <w:p w14:paraId="0A9F3C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第一章总则，共3条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。明确管理办法制定的依据，定义深圳市工业和信息化发展专项资金的内容，提出专项资金资助计划事项内容，规定专项资金管理的原则。</w:t>
      </w:r>
    </w:p>
    <w:p w14:paraId="3B6128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第二章部门职责，共4条。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主要规定了专项资金管理各相关方职责，包括市工业和信息化部门、项目单位、第三方专业服务机构和评审专家。</w:t>
      </w:r>
    </w:p>
    <w:p w14:paraId="7D82E52D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第三章资金使用范围、条件和方式，共4条。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主要规定了专项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资金使用范围、条件和方式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。市工业和信息化专项资金重点支持现代产业体系、高质量发展、中小微企业等领域，以及国家、省和市委市政府要求的其他领域；专项资金支持对象包括本市符合要求的企业、事业单位、社会组织、个人及经批准的其他对象；专项资金支持方式有事前引导类、事后奖补类、政府主导类等。</w:t>
      </w:r>
    </w:p>
    <w:p w14:paraId="7B34421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第四章项目储备，共5条。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细化规定了专项资金项目储备全流程。项目储备与审核全流程主要包括：发布年度申请指南、受理初审、专家评审、专项审计、现场核查、拟定资助计划和公示等环节。</w:t>
      </w:r>
    </w:p>
    <w:p w14:paraId="192945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第五章预算编制、执行和决算，共6条。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主要规定了预算编制与执行相关内容。主要包括开展预算编制工作、下达资助计划、跟踪执行情况、编制决算并向社会公开。</w:t>
      </w:r>
    </w:p>
    <w:p w14:paraId="6B1F403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第六章绩效管理，共3条。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主要规定了绩效管理相关内容。市工业和信息化部门每年对专项资金开展绩效评价，获得资金的项目单位应当接受监督检查，按规定使用资金，完成绩效自评。</w:t>
      </w:r>
    </w:p>
    <w:p w14:paraId="2AB6C9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第七章监督管理，共5条。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主要规定了对项目、项目单位、第三方专业服务机构和工作人员的监督管理。建立事前、事中、事后管理制度，明确了退回资金的情形、对第三方专业服务机构监督考核、工作人员违规行为的处理方式。</w:t>
      </w:r>
    </w:p>
    <w:p w14:paraId="1DBD648B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第八章附则，共3条。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主要规定了转移支付资金参照管理、解释权、实施日期和有效期。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B9E266E-EA92-4FEF-B0D2-560BFA9C43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67DD4A7F-29F4-48AE-B138-9B4D30C4F6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FB3CDF0-19DE-4A2D-86B5-245CF8C6CB9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403FC">
    <w:pPr>
      <w:pStyle w:val="5"/>
      <w:rPr>
        <w:rFonts w:hint="eastAsia" w:asciiTheme="minorEastAsia" w:hAnsiTheme="minorEastAsia" w:eastAsiaTheme="minorEastAsia" w:cstheme="minorEastAsia"/>
        <w:sz w:val="24"/>
        <w:szCs w:val="24"/>
      </w:rPr>
    </w:pPr>
    <w:r>
      <w:rPr>
        <w:rFonts w:hint="eastAsia" w:asciiTheme="minorEastAsia" w:hAnsiTheme="minorEastAsia" w:eastAsiaTheme="minorEastAsia" w:cstheme="minorEastAsia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DCA3E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6DCA3E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413370"/>
    <w:rsid w:val="346C2CBB"/>
    <w:rsid w:val="5487AB7A"/>
    <w:rsid w:val="69DD6165"/>
    <w:rsid w:val="6D7F967A"/>
    <w:rsid w:val="7DDF0437"/>
    <w:rsid w:val="7FD42901"/>
    <w:rsid w:val="BD7D6843"/>
    <w:rsid w:val="BF6F6163"/>
    <w:rsid w:val="E3683A4B"/>
    <w:rsid w:val="EFDF2BB8"/>
    <w:rsid w:val="F3DF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1487</Words>
  <Characters>1518</Characters>
  <Lines>0</Lines>
  <Paragraphs>0</Paragraphs>
  <TotalTime>7</TotalTime>
  <ScaleCrop>false</ScaleCrop>
  <LinksUpToDate>false</LinksUpToDate>
  <CharactersWithSpaces>1518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lulu最爱重口味</cp:lastModifiedBy>
  <dcterms:modified xsi:type="dcterms:W3CDTF">2025-09-28T10:42:58Z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3E07DF8FC346E6AA8FF41168079BF92A</vt:lpwstr>
  </property>
  <property fmtid="{D5CDD505-2E9C-101B-9397-08002B2CF9AE}" pid="4" name="KSOTemplateDocerSaveRecord">
    <vt:lpwstr>eyJoZGlkIjoiZjg5NzkwMWRjZjBiNzk5YzVmYWFlYWYzZTQ2OTE0Y2YiLCJ1c2VySWQiOiIzMzExNTQxOTkifQ==</vt:lpwstr>
  </property>
</Properties>
</file>